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P-R" w:cs="UD デジタル 教科書体 NP-R" w:eastAsia="UD デジタル 教科書体 NP-R" w:hAnsi="UD デジタル 教科書体 NP-R"/>
          <w:b w:val="0"/>
          <w:i w:val="0"/>
          <w:smallCaps w:val="0"/>
          <w:strike w:val="0"/>
          <w:color w:val="000000"/>
          <w:sz w:val="32"/>
          <w:szCs w:val="32"/>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32"/>
          <w:szCs w:val="32"/>
          <w:u w:val="none"/>
          <w:shd w:fill="auto" w:val="clear"/>
          <w:vertAlign w:val="baseline"/>
          <w:rtl w:val="0"/>
        </w:rPr>
        <w:t xml:space="preserve">令和７年度ガールズフェスタ要項（改訂版）</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Ｒ７．９．２</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１．主催　　　神奈川県野球連盟中体連支部</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２．主管　　　神奈川県中学校体育連盟軟式野球専門部</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３．協力　　　神奈川県野球連盟、横浜野球連盟</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３．会期　　　令和７年（2025年）９月１3日（土）</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４．会場　　　〒232-0007 神奈川県横浜市南区清水ケ丘　清水ヶ丘公園野球場</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５．試合</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１試合目　９：３０～　相模原（４）、ﾊｲﾄﾞﾚﾝｼﾞｬｰｽﾞ(7)　 ＶＳ　中　　（１８）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２試合目１０：５０～　湘南（１２）　　　　　　　　　　ＶＳ　中　　（１８）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３試合目１２：１０～　横浜（１６）　　　　　　　　　　ＶＳ　県央（６）、県西（１）やまゆり</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４試合目１３：３０～　川崎　（９）　　　　　　　　　　ＶＳ　横須賀（１３）</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６．審判員　　神奈川県中学校体育連盟軟式野球専門部審判員が行う。</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７．競技規則　2025年公認野球規則及び2025年(公財)全日本軟式野球連盟競技者必携、神奈川県</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中学校体育連盟軟式野球専門部運営規定による。</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８．競技方法　①６０分間時間制（時間が過ぎたら新しいイニングに入らない。）</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②７イニング制とする。同点の場合でも延長戦は行わない。</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③勝敗、点差にはこだわらず、女子野球の交流の場とする。</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９．参加費　　無料</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10．受付　　　試合開始１時間前までには到着をする。</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11．服装　　　選手は各学校のユニホームとする。可能な範囲で背番号を付ける。</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監督（30）・コーチ（29・28）はユニフォームとする。責任者・マネージャーはジ</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ャージ（下は長ジャージ）・平服を可とする。</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12．保険　　　大会本部で加入する。</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13．天候判断　午前７時頃に行う。原則として第１試合の該当チームは会場に向かうこととする。</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中止の場合、責任者に連絡いたします。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14．その他　・試合会場に入れるのは９時からとします。</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・その他試合に関する詳細は受付時にお伝えします。</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・大会当日までに連絡事項が生じた場合は、責任者にご連絡いたします。</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・3月に関東北信越女子野球大会が開催されますが、本県予選会を10月18日・19日に行</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います。今回参加をされた選手の中で、希望する方を対象に大会参加もできるよう準備を進</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めています。</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※出場を希望する生徒の顧問が派遣を認めた場合のみ参加可能とする。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　　　　　　　その中で中体連ドリームチームとして１チーム編成予定。</w:t>
      </w:r>
    </w:p>
    <w:tbl>
      <w:tblPr>
        <w:tblStyle w:val="Table1"/>
        <w:tblpPr w:leftFromText="142" w:rightFromText="142" w:topFromText="0" w:bottomFromText="0" w:vertAnchor="page" w:horzAnchor="margin" w:tblpXSpec="right" w:tblpY="14636"/>
        <w:tblW w:w="29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1"/>
        <w:tblGridChange w:id="0">
          <w:tblGrid>
            <w:gridCol w:w="2991"/>
          </w:tblGrid>
        </w:tblGridChange>
      </w:tblGrid>
      <w:tr>
        <w:trPr>
          <w:cantSplit w:val="0"/>
          <w:tblHeader w:val="0"/>
        </w:trPr>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問合せ先</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神奈川県野球連盟少年部</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迫田義広</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tl w:val="0"/>
              </w:rPr>
              <w:t xml:space="preserve">mail:st914h57@gmail.com</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P-R" w:cs="UD デジタル 教科書体 NP-R" w:eastAsia="UD デジタル 教科書体 NP-R" w:hAnsi="UD デジタル 教科書体 NP-R"/>
          <w:b w:val="0"/>
          <w:i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720" w:top="720" w:left="720" w:right="720"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UD デジタル 教科書体 NP-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